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E1" w:rsidRDefault="00C74AE1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277DEF50" wp14:editId="2552A868">
            <wp:extent cx="4679950" cy="1057083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0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50" w:rsidRPr="001E1D1E" w:rsidRDefault="00F51165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Patto di Integrità</w:t>
      </w:r>
    </w:p>
    <w:p w:rsidR="007442E1" w:rsidRDefault="00CE6DB3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(art. 1 co. 17 legge 190/2012)</w:t>
      </w:r>
    </w:p>
    <w:p w:rsidR="007442E1" w:rsidRDefault="007442E1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7442E1" w:rsidRDefault="007442E1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Articolo 1</w:t>
      </w:r>
      <w:bookmarkStart w:id="0" w:name="_GoBack"/>
      <w:bookmarkEnd w:id="0"/>
    </w:p>
    <w:p w:rsidR="003B6F25" w:rsidRPr="001E1D1E" w:rsidRDefault="003B6F25" w:rsidP="001E1D1E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Il </w:t>
      </w:r>
      <w:r w:rsidR="00D15694" w:rsidRPr="001E1D1E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presente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Patto d’integrità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obbliga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="00D1569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ppaltante ed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operatore economico </w:t>
      </w:r>
      <w:r w:rsidR="00D1569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ad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improntare i propri comportamenti ai principi di lealtà, trasparenza e correttezza.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</w:p>
    <w:p w:rsidR="001E1D1E" w:rsidRDefault="003726FE" w:rsidP="001E1D1E">
      <w:pPr>
        <w:autoSpaceDE w:val="0"/>
        <w:autoSpaceDN w:val="0"/>
        <w:adjustRightInd w:val="0"/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Nel caso 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l’operatore economico sia un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consorzi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ordinari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o, un</w:t>
      </w:r>
      <w:r w:rsidR="00E169A6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rag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gruppament</w:t>
      </w:r>
      <w:r w:rsidR="00E169A6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temporaneo o altra aggregazione</w:t>
      </w:r>
      <w:r w:rsidR="00D00093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d’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imprese, </w:t>
      </w:r>
      <w:r w:rsidR="008B495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</w:t>
      </w:r>
      <w:r w:rsidR="003041E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 obbligazioni del presente </w:t>
      </w:r>
      <w:r w:rsidR="008B495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invest</w:t>
      </w:r>
      <w:r w:rsidR="003041E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ono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tutti </w:t>
      </w:r>
      <w:r w:rsidR="008B495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partecipanti al </w:t>
      </w:r>
      <w:r w:rsidR="008B495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consorzio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</w:t>
      </w:r>
      <w:r w:rsidR="008B495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al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raggrupp</w:t>
      </w:r>
      <w:r w:rsidR="003B6F2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amento, all’aggregazione. </w:t>
      </w:r>
    </w:p>
    <w:p w:rsidR="007442E1" w:rsidRPr="007442E1" w:rsidRDefault="00AD0F7F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Articolo 2</w:t>
      </w:r>
    </w:p>
    <w:p w:rsidR="001E1D1E" w:rsidRPr="007442E1" w:rsidRDefault="00F51165" w:rsidP="001E1D1E">
      <w:pPr>
        <w:autoSpaceDE w:val="0"/>
        <w:autoSpaceDN w:val="0"/>
        <w:adjustRightInd w:val="0"/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Il </w:t>
      </w:r>
      <w:r w:rsidR="003041E4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presente </w:t>
      </w: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Patto di integrità costituisce parte integrante di </w:t>
      </w:r>
      <w:r w:rsidR="008B495F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ogni </w:t>
      </w: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contratto </w:t>
      </w:r>
      <w:r w:rsidR="00A42C4A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affidato dalla stazione </w:t>
      </w:r>
      <w:r w:rsidR="008B495F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appaltante</w:t>
      </w: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.</w:t>
      </w:r>
      <w:r w:rsidR="00AD0F7F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 </w:t>
      </w:r>
    </w:p>
    <w:p w:rsidR="001E1D1E" w:rsidRPr="007442E1" w:rsidRDefault="00D6275E" w:rsidP="001E1D1E">
      <w:pPr>
        <w:autoSpaceDE w:val="0"/>
        <w:autoSpaceDN w:val="0"/>
        <w:adjustRightInd w:val="0"/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Pertanto, in caso di aggiudicazione, verrà allegato al contratto d’appalto. </w:t>
      </w:r>
    </w:p>
    <w:p w:rsidR="001E1D1E" w:rsidRPr="007442E1" w:rsidRDefault="003B6F25" w:rsidP="001E1D1E">
      <w:pPr>
        <w:autoSpaceDE w:val="0"/>
        <w:autoSpaceDN w:val="0"/>
        <w:adjustRightInd w:val="0"/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In sede di gara l’operatore economico</w:t>
      </w:r>
      <w:r w:rsidR="00AD0F7F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, pena l’esclusione</w:t>
      </w:r>
      <w:r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, dichiara</w:t>
      </w:r>
      <w:r w:rsidR="00AD0F7F" w:rsidRP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 di accettare ed approvare</w:t>
      </w:r>
      <w:r w:rsidR="007442E1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 la disciplina del presente. </w:t>
      </w:r>
    </w:p>
    <w:p w:rsidR="007442E1" w:rsidRPr="007442E1" w:rsidRDefault="00AD0F7F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Articolo 3</w:t>
      </w:r>
    </w:p>
    <w:p w:rsidR="00F51165" w:rsidRPr="001E1D1E" w:rsidRDefault="00AD0F7F" w:rsidP="001E1D1E">
      <w:pPr>
        <w:autoSpaceDE w:val="0"/>
        <w:autoSpaceDN w:val="0"/>
        <w:adjustRightInd w:val="0"/>
        <w:spacing w:before="120" w:after="0" w:line="240" w:lineRule="auto"/>
        <w:ind w:left="-851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L’Appaltatore: </w:t>
      </w:r>
    </w:p>
    <w:p w:rsidR="00AD0F7F" w:rsidRPr="001E1D1E" w:rsidRDefault="00703FA2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dichiara di non aver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influenzato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in alcun modo, direttamente o indirettamente, </w:t>
      </w:r>
      <w:r w:rsidR="00353ECD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compilazione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dei documenti di gara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353ECD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allo scopo di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condizionare l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scel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ta del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l’aggiudicatario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; </w:t>
      </w:r>
    </w:p>
    <w:p w:rsidR="00F51165" w:rsidRPr="001E1D1E" w:rsidRDefault="00AD0F7F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dichiara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di non aver corrisposto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né promesso di corrispondere ad alcuno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 s’impegna a non corrispondere </w:t>
      </w:r>
      <w:r w:rsidR="00CA403C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mai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né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promettere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mai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di corrispondere ad alcuno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direttamente o tramite terzi,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denaro, regali o altre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utilità 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per agevolare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l’aggiudicazione e la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gestione del </w:t>
      </w:r>
      <w:r w:rsidR="00CA403C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successivo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rapporto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contratt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uale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;</w:t>
      </w:r>
    </w:p>
    <w:p w:rsidR="00F51165" w:rsidRPr="001E1D1E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esclude ogni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forma di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mediazione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 altra opera di terzi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finalizzata all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’aggiudicazione e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alla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successiva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gestione del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rapporto contrattuale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;</w:t>
      </w:r>
    </w:p>
    <w:p w:rsidR="00AD0F7F" w:rsidRPr="001E1D1E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assicu</w:t>
      </w:r>
      <w:r w:rsidR="00CA403C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ra di non trovarsi in situazione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 controllo o di collegamento,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formale o sostanziale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con altri concorrenti e che non si è accordato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e non si accorderà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con al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tri partecipanti alla procedura; </w:t>
      </w:r>
    </w:p>
    <w:p w:rsidR="00F51165" w:rsidRPr="001E1D1E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assicura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di non aver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consolidato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intese o pratiche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vietate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restrittive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 lesive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della concorrenza e del mercato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; </w:t>
      </w:r>
    </w:p>
    <w:p w:rsidR="00F51165" w:rsidRPr="001E1D1E" w:rsidRDefault="00CA403C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segnala,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al responsabile della p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evenzione della c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orruzione della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ppaltante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ogni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irregolarità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distorsione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tentativo di turbativa della gara e della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successiva </w:t>
      </w:r>
      <w:r w:rsidR="00AD0F7F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gestione del rapporto contrattuale, 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poste in essere da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chiunque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e, in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particolare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da amministratori,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dipendenti </w:t>
      </w:r>
      <w:r w:rsidR="00943BA7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o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collaboratori della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ppaltante; a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 segnalante di applicano, per quanto c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ompatibili, le tutele previste dall’articolo 1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comma 51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della legge 190/2012; </w:t>
      </w:r>
    </w:p>
    <w:p w:rsidR="00F51165" w:rsidRPr="001E1D1E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informa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i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propri collaboratori e dipendenti degli</w:t>
      </w:r>
      <w:r w:rsidR="00E67CE9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obblighi recati dal presente 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vigila affinché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detti obblighi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siano osservati da tutti i collaboratori e dipendenti;</w:t>
      </w:r>
    </w:p>
    <w:p w:rsidR="007442E1" w:rsidRDefault="00F51165" w:rsidP="007442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collabora con le forze di </w:t>
      </w:r>
      <w:r w:rsidR="00E67CE9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pubblica scurezza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 denunciando ogni tentativo di estorsione, intimidazione o</w:t>
      </w:r>
      <w:r w:rsidR="00943BA7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condizionamento </w:t>
      </w:r>
      <w:r w:rsidR="00E67CE9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quali, a titolo d</w:t>
      </w:r>
      <w:r w:rsidR="00D6275E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’</w:t>
      </w:r>
      <w:r w:rsidR="00943BA7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esempio: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richieste di tangenti, pressioni per indirizzare l’assunzione di personale o l’affidamento di subappalti, danneggiamenti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o f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urti di be</w:t>
      </w:r>
      <w:r w:rsidR="00E67CE9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ni personali o in cantiere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;</w:t>
      </w:r>
    </w:p>
    <w:p w:rsidR="00F51165" w:rsidRPr="007442E1" w:rsidRDefault="00F51165" w:rsidP="007442E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acquisi</w:t>
      </w:r>
      <w:r w:rsidR="00943BA7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sce,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con le stesse modalità e gli stessi adempimenti previsti dalla normativa vigente in materia di subappalto, 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preventiva autorizzazio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ne </w:t>
      </w:r>
      <w:r w:rsidR="00943BA7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della </w:t>
      </w:r>
      <w:r w:rsidR="00A42C4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stazione 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appaltante </w:t>
      </w:r>
      <w:r w:rsidR="00943BA7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lastRenderedPageBreak/>
        <w:t xml:space="preserve">anche per cottimi e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sub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-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affidamenti relativi alle seguenti categorie: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1E1D1E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A. trasporto di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materiali a discarica per conto di terzi;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B. trasporto, anche transfrontaliero, e smaltimento rifiuti per conto terzi;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C. estrazione, fornitura e trasporto terra e materiali inerti;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D. confezionamento, fornitura e trasporto di calcestruzzo e di bitume;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E. noli a freddo di macchinari;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F. forniture di ferro lavorato;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G. noli a caldo;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H. autotrasporti per conto di terzi; </w:t>
      </w:r>
      <w:r w:rsidR="00DB017A" w:rsidRPr="007442E1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I. guardiania dei cantieri; </w:t>
      </w:r>
    </w:p>
    <w:p w:rsidR="00F51165" w:rsidRPr="001E1D1E" w:rsidRDefault="00F51165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inseri</w:t>
      </w:r>
      <w:r w:rsidR="00943BA7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sce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le clausole di integrità e anti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corruzione </w:t>
      </w:r>
      <w:r w:rsidR="00DB017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 cui sopra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nei contratti di subappalto</w:t>
      </w:r>
      <w:r w:rsidR="00E67CE9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pena il diniego dell’autorizzazione; </w:t>
      </w:r>
    </w:p>
    <w:p w:rsidR="001E1D1E" w:rsidRDefault="00E67CE9" w:rsidP="00E169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comunica tempestivamente,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</w:t>
      </w:r>
      <w:r w:rsidR="0081131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; medesima risoluzione interv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errà</w:t>
      </w:r>
      <w:r w:rsidR="0081131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ogni qualvolta nei confronti di pubblici amministratori</w:t>
      </w:r>
      <w:r w:rsidR="0081131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che abbiano esercitato funzioni relative alla stipula ed esecuzione del contratto, sia disposta misura cautelare o sia intervenuto rinvio a giudizio per il delitto previsto dall’articolo 317 del c.p.</w:t>
      </w:r>
    </w:p>
    <w:p w:rsidR="007442E1" w:rsidRDefault="007442E1" w:rsidP="007442E1">
      <w:pPr>
        <w:pStyle w:val="Paragrafoelenco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7442E1" w:rsidRDefault="005D071B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Articolo 4</w:t>
      </w:r>
    </w:p>
    <w:p w:rsidR="00703FA2" w:rsidRPr="001E1D1E" w:rsidRDefault="00DB017A" w:rsidP="001E1D1E">
      <w:pPr>
        <w:pStyle w:val="Paragrafoelenco"/>
        <w:autoSpaceDE w:val="0"/>
        <w:autoSpaceDN w:val="0"/>
        <w:adjustRightInd w:val="0"/>
        <w:spacing w:before="120" w:after="0" w:line="240" w:lineRule="auto"/>
        <w:ind w:left="-426" w:firstLine="786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stazione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appaltante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: </w:t>
      </w:r>
    </w:p>
    <w:p w:rsidR="00703FA2" w:rsidRPr="001E1D1E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rispetta i principi di lealtà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trasparenza e correttezza;  </w:t>
      </w:r>
    </w:p>
    <w:p w:rsidR="00703FA2" w:rsidRPr="001E1D1E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avvia tempestivamente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procedimenti disciplinari nei confronti del personale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intervenuto nel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procedura di gara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 nell’esecuzione del contratto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in caso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di violazione di detti principi; </w:t>
      </w:r>
    </w:p>
    <w:p w:rsidR="00703FA2" w:rsidRPr="001E1D1E" w:rsidRDefault="00703FA2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avvia tempestivamente procedimenti disciplinari nei confronti del personale 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nel caso di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violazione del proprio “</w:t>
      </w:r>
      <w:r w:rsidRPr="001E1D1E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codice di comportamento dei dipendenti”</w:t>
      </w:r>
      <w:r w:rsidR="001E1D1E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, </w:t>
      </w:r>
      <w:r w:rsidR="001E1D1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approvato con Delibera di Giunta Comunale n. 91 del 23/05/2014</w:t>
      </w:r>
      <w:r w:rsidRPr="001E1D1E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 del DPR 62/2013 (</w:t>
      </w:r>
      <w:r w:rsidRPr="001E1D1E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Regolamento recante codice di comportamento dei dipendenti pubblici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); </w:t>
      </w:r>
    </w:p>
    <w:p w:rsidR="008C5104" w:rsidRPr="001E1D1E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si avvale della clausola risolutiva espressa, di cui all’art</w:t>
      </w:r>
      <w:r w:rsidR="00B9730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icolo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1456 c.c., ogni qualvolta nei confronti dell’operatore economico, </w:t>
      </w:r>
      <w:r w:rsidR="00DD0D9C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i </w:t>
      </w:r>
      <w:r w:rsidR="00DD0D9C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taluno dei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componenti la compagine sociale o dei dirigenti dell’impresa, sia stata disposta misura cautelare o sia intervenuto rinvio a giudizio per tal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uno dei delitti di cui agli articoli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317, 318, 319, 319-bis, 319-ter, 319-quater, 320, 322, 322-bis, 346-bis, 353 e 353-bis;</w:t>
      </w:r>
    </w:p>
    <w:p w:rsidR="00D6275E" w:rsidRPr="001E1D1E" w:rsidRDefault="008C5104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segnala, senza indugio, ogni illecito all’Autorità giudiziaria</w:t>
      </w:r>
      <w:r w:rsidR="00D6275E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;</w:t>
      </w:r>
    </w:p>
    <w:p w:rsidR="00F51165" w:rsidRPr="001E1D1E" w:rsidRDefault="00F51165" w:rsidP="00E169A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rende pubblici i dati riguardanti </w:t>
      </w:r>
      <w:r w:rsidR="00703FA2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la procedura e l’aggiudicazione in esecuzione della n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ormativa in materia di trasparenza.</w:t>
      </w:r>
    </w:p>
    <w:p w:rsidR="007442E1" w:rsidRDefault="005D071B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Articolo 5</w:t>
      </w:r>
    </w:p>
    <w:p w:rsidR="005D071B" w:rsidRPr="001E1D1E" w:rsidRDefault="005D071B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 -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La violazione del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Patto di integrità è decretata dalla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ppaltante a conclusione di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un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procedimento di verifica, nel quale è assicurata all’operatore economico la possibilità di depositare memorie difensive e controdeduzioni. </w:t>
      </w:r>
    </w:p>
    <w:p w:rsidR="005D071B" w:rsidRPr="001E1D1E" w:rsidRDefault="00F51165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violazione da parte dell’operatore economico, sia </w:t>
      </w:r>
      <w:r w:rsidR="005D071B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quale concorrente, sia quale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aggiudicatario, di uno degli impegni previsti </w:t>
      </w:r>
      <w:r w:rsidR="005D071B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dal presente può comportare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: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l’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esclusione dalla gara;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l’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escussione della cauzione provvisoria a corredo dell'offerta;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risoluzione 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espressa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del contratto 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ai sensi dell’articolo 1456 del </w:t>
      </w:r>
      <w:r w:rsidR="00D00093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c.c.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per grave inadempimento e in danno dell'operatore economico;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l’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escussione della cauzione definitiva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 garanzia dell’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esecuzione del contratto, impregiudicata la prova dell’esistenza di un danno maggiore;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responsabilità per danno arrecato al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ppaltante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nella misura del 10% del valore del contratto (se non coperto dall'incameramento della cauzione definitiva), impregiudicata la prova dell’esistenza di un danno maggiore;</w:t>
      </w:r>
    </w:p>
    <w:p w:rsidR="00F51165" w:rsidRPr="001E1D1E" w:rsidRDefault="005D071B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l’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esclusione del con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corrente dalle gare indette dalla </w:t>
      </w:r>
      <w:r w:rsidR="00A42C4A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stazione a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ppaltante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per un periodo non inferior</w:t>
      </w:r>
      <w:r w:rsidR="008C5104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e ad un anno e non superiore a cinque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anni, determinato in ragione della gravità dei fatti accertati e dell'entità economica del contratto;</w:t>
      </w:r>
    </w:p>
    <w:p w:rsidR="00F51165" w:rsidRPr="001E1D1E" w:rsidRDefault="008C5104" w:rsidP="00E169A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la 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segnalazione all’Autorità </w:t>
      </w: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nazionale anticorruzione e all’Autorità giudiziaria. </w:t>
      </w:r>
    </w:p>
    <w:p w:rsidR="007442E1" w:rsidRDefault="007442E1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</w:p>
    <w:p w:rsidR="007442E1" w:rsidRDefault="008C5104" w:rsidP="007442E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lastRenderedPageBreak/>
        <w:t xml:space="preserve">Articolo 6 </w:t>
      </w:r>
    </w:p>
    <w:p w:rsidR="008C5104" w:rsidRPr="001E1D1E" w:rsidRDefault="008C5104" w:rsidP="00E169A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>Il presente</w:t>
      </w:r>
      <w:r w:rsidRPr="001E1D1E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 </w:t>
      </w:r>
      <w:r w:rsidRPr="001E1D1E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vincola l’operatore economico </w:t>
      </w:r>
      <w:r w:rsidR="00F37EC9" w:rsidRPr="001E1D1E">
        <w:rPr>
          <w:rFonts w:ascii="Times New Roman" w:hAnsi="Times New Roman" w:cs="Times New Roman"/>
          <w:bCs/>
          <w:color w:val="0F243E" w:themeColor="text2" w:themeShade="80"/>
          <w:sz w:val="20"/>
          <w:szCs w:val="20"/>
        </w:rPr>
        <w:t xml:space="preserve">per tutta la durata della procedura di gara e, in caso di aggiudicazione, </w:t>
      </w:r>
      <w:r w:rsidR="00F37EC9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sino al</w:t>
      </w:r>
      <w:r w:rsidR="00F51165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completa</w:t>
      </w:r>
      <w:r w:rsidR="00F37EC9"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mento, a regola d’arte, della prestazione contrattuale. </w:t>
      </w:r>
    </w:p>
    <w:p w:rsidR="008C5104" w:rsidRPr="001E1D1E" w:rsidRDefault="008C5104" w:rsidP="00E169A6">
      <w:pPr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710EE0" w:rsidRPr="001E1D1E" w:rsidRDefault="00710EE0" w:rsidP="00E169A6">
      <w:pPr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Stazione appaltante _________________________________________ </w:t>
      </w:r>
    </w:p>
    <w:p w:rsidR="007442E1" w:rsidRDefault="007442E1" w:rsidP="007442E1">
      <w:pPr>
        <w:spacing w:before="120"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7442E1" w:rsidRDefault="007442E1" w:rsidP="007442E1">
      <w:pPr>
        <w:spacing w:before="120"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710EE0" w:rsidRPr="001E1D1E" w:rsidRDefault="00710EE0" w:rsidP="007442E1">
      <w:pPr>
        <w:spacing w:before="120"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E1D1E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Appaltatore ________________________________________________</w:t>
      </w:r>
    </w:p>
    <w:p w:rsidR="00D10B9D" w:rsidRPr="001E1D1E" w:rsidRDefault="00D10B9D" w:rsidP="00E169A6">
      <w:pPr>
        <w:pStyle w:val="NormaleWeb"/>
        <w:widowControl w:val="0"/>
        <w:spacing w:before="120" w:beforeAutospacing="0" w:after="0" w:afterAutospacing="0"/>
        <w:rPr>
          <w:color w:val="0F243E" w:themeColor="text2" w:themeShade="80"/>
          <w:sz w:val="20"/>
          <w:szCs w:val="20"/>
        </w:rPr>
      </w:pPr>
    </w:p>
    <w:p w:rsidR="00935CF9" w:rsidRPr="001E1D1E" w:rsidRDefault="00935CF9" w:rsidP="00E169A6">
      <w:pPr>
        <w:spacing w:before="120"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sectPr w:rsidR="00935CF9" w:rsidRPr="001E1D1E" w:rsidSect="00D6275E">
      <w:footerReference w:type="default" r:id="rId9"/>
      <w:pgSz w:w="11906" w:h="16838"/>
      <w:pgMar w:top="1418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51" w:rsidRDefault="00154F51" w:rsidP="00CF6B97">
      <w:pPr>
        <w:spacing w:after="0" w:line="240" w:lineRule="auto"/>
      </w:pPr>
      <w:r>
        <w:separator/>
      </w:r>
    </w:p>
  </w:endnote>
  <w:endnote w:type="continuationSeparator" w:id="0">
    <w:p w:rsidR="00154F51" w:rsidRDefault="00154F51" w:rsidP="00CF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3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A403C" w:rsidRPr="00CF6B97" w:rsidRDefault="0016761A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CF6B97">
          <w:rPr>
            <w:rFonts w:ascii="Arial" w:hAnsi="Arial" w:cs="Arial"/>
            <w:sz w:val="16"/>
            <w:szCs w:val="16"/>
          </w:rPr>
          <w:fldChar w:fldCharType="begin"/>
        </w:r>
        <w:r w:rsidR="00CA403C" w:rsidRPr="00CF6B9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CF6B97">
          <w:rPr>
            <w:rFonts w:ascii="Arial" w:hAnsi="Arial" w:cs="Arial"/>
            <w:sz w:val="16"/>
            <w:szCs w:val="16"/>
          </w:rPr>
          <w:fldChar w:fldCharType="separate"/>
        </w:r>
        <w:r w:rsidR="00D55371">
          <w:rPr>
            <w:rFonts w:ascii="Arial" w:hAnsi="Arial" w:cs="Arial"/>
            <w:noProof/>
            <w:sz w:val="16"/>
            <w:szCs w:val="16"/>
          </w:rPr>
          <w:t>2</w:t>
        </w:r>
        <w:r w:rsidRPr="00CF6B9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A403C" w:rsidRDefault="00CA40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51" w:rsidRDefault="00154F51" w:rsidP="00CF6B97">
      <w:pPr>
        <w:spacing w:after="0" w:line="240" w:lineRule="auto"/>
      </w:pPr>
      <w:r>
        <w:separator/>
      </w:r>
    </w:p>
  </w:footnote>
  <w:footnote w:type="continuationSeparator" w:id="0">
    <w:p w:rsidR="00154F51" w:rsidRDefault="00154F51" w:rsidP="00CF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E78"/>
    <w:multiLevelType w:val="hybridMultilevel"/>
    <w:tmpl w:val="8DAEDB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411F6E"/>
    <w:multiLevelType w:val="hybridMultilevel"/>
    <w:tmpl w:val="FE907598"/>
    <w:lvl w:ilvl="0" w:tplc="04100019">
      <w:start w:val="1"/>
      <w:numFmt w:val="lowerLetter"/>
      <w:lvlText w:val="%1."/>
      <w:lvlJc w:val="left"/>
      <w:pPr>
        <w:ind w:left="210" w:hanging="360"/>
      </w:pPr>
      <w:rPr>
        <w:rFonts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27744C1F"/>
    <w:multiLevelType w:val="singleLevel"/>
    <w:tmpl w:val="3066056A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50EB10A4"/>
    <w:multiLevelType w:val="hybridMultilevel"/>
    <w:tmpl w:val="50986E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3755B"/>
    <w:multiLevelType w:val="hybridMultilevel"/>
    <w:tmpl w:val="C7E67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36FCE"/>
    <w:multiLevelType w:val="singleLevel"/>
    <w:tmpl w:val="F240044A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B9D"/>
    <w:rsid w:val="00051169"/>
    <w:rsid w:val="000C7AE7"/>
    <w:rsid w:val="00154F51"/>
    <w:rsid w:val="0016761A"/>
    <w:rsid w:val="001A1CB3"/>
    <w:rsid w:val="001E1D1E"/>
    <w:rsid w:val="002E7ADA"/>
    <w:rsid w:val="003041E4"/>
    <w:rsid w:val="00313FA6"/>
    <w:rsid w:val="00325A08"/>
    <w:rsid w:val="00353ECD"/>
    <w:rsid w:val="003633C5"/>
    <w:rsid w:val="003726FE"/>
    <w:rsid w:val="003B6F25"/>
    <w:rsid w:val="003E0D4A"/>
    <w:rsid w:val="003E60BB"/>
    <w:rsid w:val="00434E59"/>
    <w:rsid w:val="004546F0"/>
    <w:rsid w:val="00467BC4"/>
    <w:rsid w:val="004B3366"/>
    <w:rsid w:val="004D00A0"/>
    <w:rsid w:val="00521DF7"/>
    <w:rsid w:val="00574363"/>
    <w:rsid w:val="005D071B"/>
    <w:rsid w:val="005E6C66"/>
    <w:rsid w:val="005F396E"/>
    <w:rsid w:val="00614964"/>
    <w:rsid w:val="0068199D"/>
    <w:rsid w:val="0068274D"/>
    <w:rsid w:val="006828FA"/>
    <w:rsid w:val="00697B18"/>
    <w:rsid w:val="006C0050"/>
    <w:rsid w:val="006D4656"/>
    <w:rsid w:val="00703FA2"/>
    <w:rsid w:val="00710EE0"/>
    <w:rsid w:val="007442E1"/>
    <w:rsid w:val="007807BE"/>
    <w:rsid w:val="0079511B"/>
    <w:rsid w:val="007D37A3"/>
    <w:rsid w:val="008004CE"/>
    <w:rsid w:val="008023FE"/>
    <w:rsid w:val="0081131E"/>
    <w:rsid w:val="008334F1"/>
    <w:rsid w:val="00881BD3"/>
    <w:rsid w:val="008B495F"/>
    <w:rsid w:val="008B4D0A"/>
    <w:rsid w:val="008B6CC6"/>
    <w:rsid w:val="008C5104"/>
    <w:rsid w:val="008E2010"/>
    <w:rsid w:val="008F0912"/>
    <w:rsid w:val="008F42AF"/>
    <w:rsid w:val="009011E5"/>
    <w:rsid w:val="00935CF9"/>
    <w:rsid w:val="00943BA7"/>
    <w:rsid w:val="0096237F"/>
    <w:rsid w:val="00992B7F"/>
    <w:rsid w:val="00A42C4A"/>
    <w:rsid w:val="00A8592C"/>
    <w:rsid w:val="00A966DA"/>
    <w:rsid w:val="00AD0F7F"/>
    <w:rsid w:val="00B57EE7"/>
    <w:rsid w:val="00B97302"/>
    <w:rsid w:val="00BA3DB0"/>
    <w:rsid w:val="00C168EA"/>
    <w:rsid w:val="00C472B7"/>
    <w:rsid w:val="00C74AE1"/>
    <w:rsid w:val="00C75681"/>
    <w:rsid w:val="00CA403C"/>
    <w:rsid w:val="00CC774C"/>
    <w:rsid w:val="00CE34CB"/>
    <w:rsid w:val="00CE6DB3"/>
    <w:rsid w:val="00CF6B97"/>
    <w:rsid w:val="00D00093"/>
    <w:rsid w:val="00D05EF0"/>
    <w:rsid w:val="00D10B9D"/>
    <w:rsid w:val="00D15694"/>
    <w:rsid w:val="00D54201"/>
    <w:rsid w:val="00D55371"/>
    <w:rsid w:val="00D6275E"/>
    <w:rsid w:val="00DB017A"/>
    <w:rsid w:val="00DD0D9C"/>
    <w:rsid w:val="00DD2319"/>
    <w:rsid w:val="00E169A6"/>
    <w:rsid w:val="00E54015"/>
    <w:rsid w:val="00E64651"/>
    <w:rsid w:val="00E67CE9"/>
    <w:rsid w:val="00E7044B"/>
    <w:rsid w:val="00EA15CD"/>
    <w:rsid w:val="00ED20D7"/>
    <w:rsid w:val="00EE02BE"/>
    <w:rsid w:val="00F37EC9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9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0B9D"/>
    <w:pPr>
      <w:widowControl w:val="0"/>
      <w:tabs>
        <w:tab w:val="center" w:pos="4819"/>
        <w:tab w:val="right" w:pos="9638"/>
      </w:tabs>
      <w:spacing w:after="0" w:line="240" w:lineRule="auto"/>
      <w:ind w:left="-510" w:right="17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3">
    <w:name w:val="Style43"/>
    <w:basedOn w:val="Normale"/>
    <w:uiPriority w:val="99"/>
    <w:rsid w:val="00A966D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A966DA"/>
    <w:rPr>
      <w:rFonts w:ascii="Times New Roman" w:hAnsi="Times New Roman" w:cs="Times New Roman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F6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B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0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2020-03-02T12:22:00Z</dcterms:created>
  <dcterms:modified xsi:type="dcterms:W3CDTF">2021-06-09T10:51:00Z</dcterms:modified>
</cp:coreProperties>
</file>